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404040" w:sz="8"/>
              <w:left w:val="single" w:color="404040" w:sz="8"/>
              <w:bottom w:val="single" w:color="404040" w:sz="8"/>
              <w:right w:val="single" w:color="404040" w:sz="8"/>
            </w:tcBorders>
            <w:shd w:fill="F2F2F2" w:color="auto" w:val="clear"/>
            <w:tcMar>
              <w:top w:type="dxa" w:w="100"/>
              <w:left w:type="dxa" w:w="140"/>
              <w:bottom w:type="dxa" w:w="100"/>
              <w:right w:type="dxa" w:w="140"/>
            </w:tcMar>
          </w:tcPr>
          <w:p>
            <w:pPr>
              <w:spacing w:after="100" w:before="0" w:line="264"/>
              <w:jc w:val="left"/>
            </w:pPr>
            <w:r>
              <w:rPr>
                <w:rFonts w:ascii="Arial" w:cs="Arial" w:eastAsia="Arial" w:hAnsi="Arial"/>
                <w:b/>
                <w:bCs/>
                <w:sz w:val="18"/>
                <w:szCs w:val="18"/>
              </w:rPr>
              <w:t xml:space="preserve">IMPORTANT NOTICE – READ BEFORE USE (delete this box before use)</w:t>
            </w:r>
          </w:p>
          <w:p>
            <w:pPr>
              <w:spacing w:after="80" w:before="0" w:line="264"/>
              <w:jc w:val="left"/>
            </w:pPr>
            <w:r>
              <w:rPr>
                <w:rFonts w:ascii="Arial" w:cs="Arial" w:eastAsia="Arial" w:hAnsi="Arial"/>
                <w:b/>
                <w:bCs/>
                <w:sz w:val="17"/>
                <w:szCs w:val="17"/>
              </w:rPr>
              <w:t xml:space="preserve">Template, not advice.</w:t>
            </w:r>
            <w:r>
              <w:rPr>
                <w:rFonts w:ascii="Arial" w:cs="Arial" w:eastAsia="Arial" w:hAnsi="Arial"/>
                <w:sz w:val="17"/>
                <w:szCs w:val="17"/>
              </w:rPr>
              <w:t xml:space="preserve"> This Index and Guide is a template published by Arc Law Limited, trading as Atka Legal (“Atka Legal”). It is provided for general information and as a starting point only. It is not legal advice, and no solicitor–client relationship is created by downloading or using it.</w:t>
            </w:r>
          </w:p>
          <w:p>
            <w:pPr>
              <w:spacing w:after="80" w:before="0" w:line="264"/>
              <w:jc w:val="left"/>
            </w:pPr>
            <w:r>
              <w:rPr>
                <w:rFonts w:ascii="Arial" w:cs="Arial" w:eastAsia="Arial" w:hAnsi="Arial"/>
                <w:b/>
                <w:bCs/>
                <w:sz w:val="17"/>
                <w:szCs w:val="17"/>
              </w:rPr>
              <w:t xml:space="preserve">England and Wales only.</w:t>
            </w:r>
            <w:r>
              <w:rPr>
                <w:rFonts w:ascii="Arial" w:cs="Arial" w:eastAsia="Arial" w:hAnsi="Arial"/>
                <w:sz w:val="17"/>
                <w:szCs w:val="17"/>
              </w:rPr>
              <w:t xml:space="preserve"> It is written for use under the law of England and Wales and has not been tailored to your circumstances. No warranty is given that it is complete, up to date, enforceable or suitable for your purpose. The law changes: check that it reflects current law before use.</w:t>
            </w:r>
          </w:p>
          <w:p>
            <w:pPr>
              <w:spacing w:after="80" w:before="0" w:line="264"/>
              <w:jc w:val="left"/>
            </w:pPr>
            <w:r>
              <w:rPr>
                <w:rFonts w:ascii="Arial" w:cs="Arial" w:eastAsia="Arial" w:hAnsi="Arial"/>
                <w:b/>
                <w:bCs/>
                <w:sz w:val="17"/>
                <w:szCs w:val="17"/>
              </w:rPr>
              <w:t xml:space="preserve">How to use it.</w:t>
            </w:r>
            <w:r>
              <w:rPr>
                <w:rFonts w:ascii="Arial" w:cs="Arial" w:eastAsia="Arial" w:hAnsi="Arial"/>
                <w:sz w:val="17"/>
                <w:szCs w:val="17"/>
              </w:rPr>
              <w:t xml:space="preserve"> Complete every blank (shown as ______), choose one option wherever you see ☐ and delete the options you do not use, and read each drafting note (shown as a comment in the margin). Delete the drafting notes and this box before you share or sign the document.</w:t>
            </w:r>
          </w:p>
          <w:p>
            <w:pPr>
              <w:spacing w:after="80" w:before="0" w:line="264"/>
              <w:jc w:val="left"/>
            </w:pPr>
            <w:r>
              <w:rPr>
                <w:rFonts w:ascii="Arial" w:cs="Arial" w:eastAsia="Arial" w:hAnsi="Arial"/>
                <w:b/>
                <w:bCs/>
                <w:sz w:val="17"/>
                <w:szCs w:val="17"/>
              </w:rPr>
              <w:t xml:space="preserve">Take advice.</w:t>
            </w:r>
            <w:r>
              <w:rPr>
                <w:rFonts w:ascii="Arial" w:cs="Arial" w:eastAsia="Arial" w:hAnsi="Arial"/>
                <w:sz w:val="17"/>
                <w:szCs w:val="17"/>
              </w:rPr>
              <w:t xml:space="preserve"> Get independent legal and tax advice where a drafting note says so, where the arrangement is complex or high value, or where you are unsure.</w:t>
            </w:r>
          </w:p>
          <w:p>
            <w:pPr>
              <w:spacing w:after="20" w:before="0" w:line="264"/>
              <w:jc w:val="left"/>
            </w:pPr>
            <w:r>
              <w:rPr>
                <w:rFonts w:ascii="Arial" w:cs="Arial" w:eastAsia="Arial" w:hAnsi="Arial"/>
                <w:b/>
                <w:bCs/>
                <w:sz w:val="17"/>
                <w:szCs w:val="17"/>
              </w:rPr>
              <w:t xml:space="preserve">Licence and liability.</w:t>
            </w:r>
            <w:r>
              <w:rPr>
                <w:rFonts w:ascii="Arial" w:cs="Arial" w:eastAsia="Arial" w:hAnsi="Arial"/>
                <w:sz w:val="17"/>
                <w:szCs w:val="17"/>
              </w:rPr>
              <w:t xml:space="preserve"> You may use this template for your own business only. You must not sell, sub-license, publish or distribute it, use it to build a competing product, or use it to train AI models, without Atka Legal’s written permission. To the extent the law allows, Atka Legal accepts no liability for any loss arising from its use.</w:t>
            </w:r>
          </w:p>
        </w:tc>
      </w:tr>
    </w:tbl>
    <w:p>
      <w:pPr>
        <w:spacing w:after="120"/>
      </w:pPr>
    </w:p>
    <w:p>
      <w:pPr>
        <w:spacing w:after="200" w:before="0" w:line="264"/>
        <w:jc w:val="center"/>
      </w:pPr>
      <w:r>
        <w:rPr>
          <w:rFonts w:ascii="Arial" w:cs="Arial" w:eastAsia="Arial" w:hAnsi="Arial"/>
          <w:b/>
          <w:bCs/>
          <w:sz w:val="28"/>
          <w:szCs w:val="28"/>
        </w:rPr>
        <w:t xml:space="preserve">STARTUP TEMPLATE LIBRARY: INDEX AND GUIDE</w:t>
      </w:r>
    </w:p>
    <w:p>
      <w:pPr>
        <w:spacing w:after="120" w:before="0" w:line="264"/>
        <w:jc w:val="left"/>
      </w:pPr>
      <w:commentRangeStart w:id="0"/>
      <w:r>
        <w:rPr>
          <w:rFonts w:ascii="Arial" w:cs="Arial" w:eastAsia="Arial" w:hAnsi="Arial"/>
          <w:sz w:val="20"/>
          <w:szCs w:val="20"/>
        </w:rPr>
        <w:t xml:space="preserve">Which document do I need, and when? Documents are numbered in the order they appear in this library. “Stage” shows the point in a company’s life at which it normally becomes necessary.</w:t>
      </w:r>
      <w:commentRangeEnd w:id="0"/>
      <w:r>
        <w:commentReference w:id="0"/>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3400"/>
        <w:gridCol w:w="1500"/>
        <w:gridCol w:w="3526"/>
      </w:tblGrid>
      <w:tr>
        <w:trPr>
          <w:cantSplit/>
        </w:trPr>
        <w:tc>
          <w:tcPr>
            <w:tcW w:type="dxa" w:w="600"/>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vAlign w:val="top"/>
          </w:tcPr>
          <w:p>
            <w:pPr>
              <w:spacing w:after="60" w:before="0" w:line="264"/>
              <w:jc w:val="left"/>
            </w:pPr>
            <w:r>
              <w:rPr>
                <w:rFonts w:ascii="Arial" w:cs="Arial" w:eastAsia="Arial" w:hAnsi="Arial"/>
                <w:b/>
                <w:bCs/>
                <w:sz w:val="20"/>
                <w:szCs w:val="20"/>
              </w:rPr>
              <w:t xml:space="preserve">No.</w:t>
            </w:r>
          </w:p>
        </w:tc>
        <w:tc>
          <w:tcPr>
            <w:tcW w:type="dxa" w:w="3400"/>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vAlign w:val="top"/>
          </w:tcPr>
          <w:p>
            <w:pPr>
              <w:spacing w:after="60" w:before="0" w:line="264"/>
              <w:jc w:val="left"/>
            </w:pPr>
            <w:r>
              <w:rPr>
                <w:rFonts w:ascii="Arial" w:cs="Arial" w:eastAsia="Arial" w:hAnsi="Arial"/>
                <w:b/>
                <w:bCs/>
                <w:sz w:val="20"/>
                <w:szCs w:val="20"/>
              </w:rPr>
              <w:t xml:space="preserve">Document</w:t>
            </w:r>
          </w:p>
        </w:tc>
        <w:tc>
          <w:tcPr>
            <w:tcW w:type="dxa" w:w="1500"/>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vAlign w:val="top"/>
          </w:tcPr>
          <w:p>
            <w:pPr>
              <w:spacing w:after="60" w:before="0" w:line="264"/>
              <w:jc w:val="left"/>
            </w:pPr>
            <w:r>
              <w:rPr>
                <w:rFonts w:ascii="Arial" w:cs="Arial" w:eastAsia="Arial" w:hAnsi="Arial"/>
                <w:b/>
                <w:bCs/>
                <w:sz w:val="20"/>
                <w:szCs w:val="20"/>
              </w:rPr>
              <w:t xml:space="preserve">Stage</w:t>
            </w:r>
          </w:p>
        </w:tc>
        <w:tc>
          <w:tcPr>
            <w:tcW w:type="dxa" w:w="3526"/>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vAlign w:val="top"/>
          </w:tcPr>
          <w:p>
            <w:pPr>
              <w:spacing w:after="60" w:before="0" w:line="264"/>
              <w:jc w:val="left"/>
            </w:pPr>
            <w:r>
              <w:rPr>
                <w:rFonts w:ascii="Arial" w:cs="Arial" w:eastAsia="Arial" w:hAnsi="Arial"/>
                <w:b/>
                <w:bCs/>
                <w:sz w:val="20"/>
                <w:szCs w:val="20"/>
              </w:rPr>
              <w:t xml:space="preserve">Use it when</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01</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Founders’ Agreement (short-form shareholders’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Formation</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two or more founders share equity and need to agree roles, vesting, leavers and exit.</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02</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Founder IP Assignment Deed</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Formation</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 founder built code, brand or content before the company existed.</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03</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Employment Contract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First hire</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taking on an employee (also acts as the written statement of particulars).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04</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Independent Contractor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First hire</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engaging a freelancer or consultant who is genuinely self-employed.</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05</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Advisor Agreement (equity)</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Early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giving an adviser equity or options for ongoing help.</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06</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Advisor Agreement (fee)</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Early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paying an adviser a fee instead of equity.</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07</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Mutual NDA</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Any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both sides will share confidential information.</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08</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One-way NDA</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Any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only one side will share (for example, a pitch or demo).</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09</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SaaS Customer Terms (B2B)</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First customers</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selling software or an online service to businesses.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10</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Website Terms and Conditions</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Launch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publishing a website (terms of use, not terms of sale).</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11</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Privacy and Cookie Policy</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Launch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collecting any personal data through a website or product.</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12</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Data Processing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First customers</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you handle personal data on behalf of a customer (or a supplier handles yours).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13</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Advance Subscription Agreement (ASA)</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Pre-seed / seed</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taking early investment (especially SEIS/EIS) before a priced round.</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14</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Convertible Loan Note Instrument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Pre-seed / seed</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taking a loan that converts into shares in a later round.</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15</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EMI Share Option Plan and Option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Growth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giving employees tax-advantaged options.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16</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Non-EMI Share Option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Growth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giving options to non-employees (advisers, contractors).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17</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Master Services Agreement and SoW</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Growth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providing services to business customers project by project.</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18</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Pilot and Proof-of-Concept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First customers</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trialling your product with a business before a full contract.</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19</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Freelance Developer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Build</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commissioning code (and you need to own it).</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20</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Design and Creative Commissioning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Build</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commissioning a logo, brand, design or content.</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21</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Referral and Affiliate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Growth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paying commission for introductions.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22</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Distribution and Reseller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Growth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selling through a distributor or reseller who buys from you.</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23</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Settlement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Any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ending employment on agreed terms.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24</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Employee Handbook (starter)</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First hire</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you have staff and need written policies.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25</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AI Acceptable Use Policy</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Any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staff use generative AI or other AI tools at work.</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26</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Data Retention and Breach Response Policy</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Launch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you hold personal data and need a retention and breach plan.</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27</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Board Minutes and Written Resolutions Pack</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Any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recording board and shareholder decisions and filings.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28</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Internship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Any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taking on an intern (check the minimum wage position).</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29</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Shareholders’ Agreement (investor round)</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Seed / Series A</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investors have joined and need full governance terms.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30</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Investment Term Sheet (non-binding)</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Seed / Series A</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agreeing headline terms with an investor before drafting.</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31</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Consumer Terms of Sale (online)</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Launch (B2C)</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selling goods or digital products to consumers online.</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32</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Staff Privacy Notice</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First hire</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you hold personal data about staff, contractors or applicants.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33</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DPIA and AI Impact Assessment Form</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Any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 new project or AI tool may be high risk for people’s data.</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34</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Articles of Association (investor-ready)</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Seed / Series A</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adopting bespoke articles with investor share rights (replaces the Model Articles).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35</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Subscription Agreement (investor round)</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Seed / Series A</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investors subscribe for shares in a priced round.</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36</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Warrant Instrument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Seed / Series A</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granting an investor or lender a right to subscribe for shares later.</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37</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Worker Contract (casual / zero-hours)</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Any</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engaging occasional workers with no obligation to offer or accept work.</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38</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Disciplinary and Redundancy Letters Pack</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First hire</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running a fair disciplinary or small-scale redundancy process.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39</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IP Licence (trade mark and software)</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Growth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licensing your brand or software to another business.</w:t>
            </w:r>
          </w:p>
        </w:tc>
      </w:tr>
      <w:tr>
        <w:trPr>
          <w:cantSpli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40</w:t>
            </w:r>
          </w:p>
        </w:tc>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Collaboration and Joint Venture Agreement</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Growth</w:t>
            </w:r>
          </w:p>
        </w:tc>
        <w:tc>
          <w:tcPr>
            <w:tcW w:type="dxa" w:w="3526"/>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before="0" w:line="264"/>
              <w:jc w:val="left"/>
            </w:pPr>
            <w:r>
              <w:rPr>
                <w:rFonts w:ascii="Arial" w:cs="Arial" w:eastAsia="Arial" w:hAnsi="Arial"/>
                <w:sz w:val="20"/>
                <w:szCs w:val="20"/>
              </w:rPr>
              <w:t xml:space="preserve">working with another business on a project without forming a new company.</w:t>
            </w:r>
          </w:p>
        </w:tc>
      </w:tr>
    </w:tbl>
    <w:p>
      <w:pPr>
        <w:spacing w:after="120"/>
      </w:pPr>
    </w:p>
    <w:p>
      <w:pPr>
        <w:spacing w:after="120" w:before="0" w:line="264"/>
        <w:jc w:val="both"/>
      </w:pPr>
      <w:r>
        <w:rPr>
          <w:rFonts w:ascii="Arial" w:cs="Arial" w:eastAsia="Arial" w:hAnsi="Arial"/>
          <w:sz w:val="20"/>
          <w:szCs w:val="20"/>
        </w:rPr>
        <w:t xml:space="preserve"> </w:t>
      </w:r>
    </w:p>
    <w:p>
      <w:pPr>
        <w:spacing w:after="120" w:before="0" w:line="264"/>
        <w:jc w:val="left"/>
      </w:pPr>
      <w:r>
        <w:rPr>
          <w:rFonts w:ascii="Arial" w:cs="Arial" w:eastAsia="Arial" w:hAnsi="Arial"/>
          <w:b/>
          <w:bCs/>
          <w:sz w:val="20"/>
          <w:szCs w:val="20"/>
        </w:rPr>
        <w:t xml:space="preserve">Common sequences.</w:t>
      </w:r>
      <w:r>
        <w:rPr>
          <w:rFonts w:ascii="Arial" w:cs="Arial" w:eastAsia="Arial" w:hAnsi="Arial"/>
          <w:sz w:val="20"/>
          <w:szCs w:val="20"/>
        </w:rPr>
        <w:t xml:space="preserve"> Founding: 01, 02, 27. Hiring: 03, 24, 32, 26. Launching a SaaS product: 09, 10, 11, 12, 25, 26. Raising money: 13 or 14, then 30, 35, 34, 29, 27 (and 15 for an option plan; 36 if warrants are agreed). Letting people go: 38, 23. Occasional staff: 37. Partnering: 39, 40. Using AI: 25, 33, 12.</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initials="AL" w:author="Atka Legal" w:date="2026-10-11T12:33:27.858Z">
    <w:p>
      <w:r>
        <w:rPr>
          <w:rFonts w:ascii="Arial" w:cs="Arial" w:eastAsia="Arial" w:hAnsi="Arial"/>
          <w:sz w:val="18"/>
          <w:szCs w:val="18"/>
        </w:rPr>
        <w:t xml:space="preserve">Drafting note: Use this page as the starting point. For every document: read the disclaimer box on page 1, complete the blanks and ☐ choices, read the Word comments (drafting notes), then delete the notes and the disclaimer box before sharing or signing. These templates are for England and Wales. Check the law has not changed since the version date in the footer.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center"/>
    </w:pPr>
    <w:r>
      <w:rPr>
        <w:rFonts w:ascii="Arial" w:cs="Arial" w:eastAsia="Arial" w:hAnsi="Arial"/>
        <w:sz w:val="15"/>
        <w:szCs w:val="15"/>
      </w:rPr>
      <w:t xml:space="preserve">© 2026 Arc Law Limited, trading as Atka Legal. All rights reserved.</w:t>
    </w:r>
  </w:p>
  <w:p>
    <w:pPr>
      <w:spacing w:after="0"/>
      <w:jc w:val="center"/>
    </w:pPr>
    <w:r>
      <w:rPr>
        <w:rFonts w:ascii="Arial" w:cs="Arial" w:eastAsia="Arial" w:hAnsi="Arial"/>
        <w:sz w:val="15"/>
        <w:szCs w:val="15"/>
      </w:rPr>
      <w:t xml:space="preserve">Atka Legal Startup Template Library: Guide – Template v1.0 (October 2026) – Page </w:t>
    </w:r>
    <w:r>
      <w:rPr>
        <w:rFonts w:ascii="Arial" w:cs="Arial" w:eastAsia="Arial" w:hAnsi="Arial"/>
        <w:sz w:val="15"/>
        <w:szCs w:val="15"/>
      </w:rPr>
      <w:fldChar w:fldCharType="begin"/>
      <w:instrText xml:space="preserve">PAGE</w:instrText>
      <w:fldChar w:fldCharType="separate"/>
      <w:fldChar w:fldCharType="end"/>
    </w:r>
    <w:r>
      <w:rPr>
        <w:rFonts w:ascii="Arial" w:cs="Arial" w:eastAsia="Arial" w:hAnsi="Arial"/>
        <w:sz w:val="15"/>
        <w:szCs w:val="15"/>
      </w:rPr>
      <w:t xml:space="preserve"> of </w:t>
    </w:r>
    <w:r>
      <w:rPr>
        <w:rFonts w:ascii="Arial" w:cs="Arial" w:eastAsia="Arial" w:hAnsi="Arial"/>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Atka Legal Startup Template Library: Guide</dc:title>
  <dc:creator>Arc Law Limited t/a Atka Legal</dc:creator>
  <dc:description>© 2026 Arc Law Limited, trading as Atka Legal. All rights reserved.</dc:description>
  <cp:lastModifiedBy>Un-named</cp:lastModifiedBy>
  <cp:revision>1</cp:revision>
  <dcterms:created xsi:type="dcterms:W3CDTF">2026-10-11T12:33:27.874Z</dcterms:created>
  <dcterms:modified xsi:type="dcterms:W3CDTF">2026-10-11T12:33:27.875Z</dcterms:modified>
</cp:coreProperties>
</file>

<file path=docProps/custom.xml><?xml version="1.0" encoding="utf-8"?>
<Properties xmlns="http://schemas.openxmlformats.org/officeDocument/2006/custom-properties" xmlns:vt="http://schemas.openxmlformats.org/officeDocument/2006/docPropsVTypes"/>
</file>